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default"/>
          <w:b w:val="0"/>
          <w:bCs w:val="0"/>
          <w:sz w:val="32"/>
          <w:szCs w:val="32"/>
          <w:lang w:val="ru-RU"/>
        </w:rPr>
      </w:pPr>
      <w:r>
        <w:rPr>
          <w:rFonts w:hint="default"/>
          <w:b w:val="0"/>
          <w:bCs w:val="0"/>
          <w:sz w:val="32"/>
          <w:szCs w:val="32"/>
          <w:lang w:val="ru-RU"/>
        </w:rPr>
        <w:t xml:space="preserve">2-ой Международный инновационно-предпринимательский конкурс высококлассных кадров </w:t>
      </w:r>
    </w:p>
    <w:p>
      <w:pPr>
        <w:numPr>
          <w:ilvl w:val="0"/>
          <w:numId w:val="0"/>
        </w:numPr>
        <w:ind w:firstLine="321" w:firstLineChars="100"/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rFonts w:hint="default"/>
          <w:b/>
          <w:bCs/>
          <w:sz w:val="32"/>
          <w:szCs w:val="32"/>
          <w:lang w:val="ru-RU"/>
        </w:rPr>
        <w:t>“Вступив в г.Тайань, можно обрести силу подобно горе Тайшань”</w:t>
      </w:r>
    </w:p>
    <w:p>
      <w:pPr>
        <w:numPr>
          <w:ilvl w:val="0"/>
          <w:numId w:val="1"/>
        </w:numPr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Организатор: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Муниципальный комитет Коммунистической партии Китая г. Тайань;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Народное правительство г. Тайань.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ru-RU"/>
        </w:rPr>
      </w:pPr>
      <w:r>
        <w:rPr>
          <w:rFonts w:hint="default"/>
          <w:b/>
          <w:bCs/>
          <w:sz w:val="28"/>
          <w:szCs w:val="28"/>
          <w:lang w:val="ru-RU"/>
        </w:rPr>
        <w:t>Подрядные организации: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Организационный отдел городского комитета КПК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default"/>
          <w:b w:val="0"/>
          <w:bCs w:val="0"/>
          <w:sz w:val="28"/>
          <w:szCs w:val="28"/>
          <w:lang w:val="ru-RU" w:eastAsia="zh-CN"/>
        </w:rPr>
        <w:t>г. Тайань;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Комитет по развитию и реформам г.Тайань;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НТУ Научно-техническое управление г. Тайань;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Управление промышленности и информатизации г. Тайань;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Финансовое управление г. Тайнань;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Управление по трудовым ресурсам и социальному обеспечению г.Тайань;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Управление коммерции г.Тайань;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/>
        </w:rPr>
      </w:pPr>
      <w:r>
        <w:rPr>
          <w:rFonts w:hint="default"/>
          <w:b w:val="0"/>
          <w:bCs w:val="0"/>
          <w:sz w:val="28"/>
          <w:szCs w:val="28"/>
          <w:lang w:val="ru-RU"/>
        </w:rPr>
        <w:t>Пекинская ассоциация содействия глобального обмена талантами.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ru-RU" w:eastAsia="zh-CN"/>
        </w:rPr>
      </w:pPr>
      <w:r>
        <w:rPr>
          <w:rFonts w:hint="default"/>
          <w:b/>
          <w:bCs/>
          <w:sz w:val="28"/>
          <w:szCs w:val="28"/>
          <w:lang w:val="ru-RU" w:eastAsia="zh-CN"/>
        </w:rPr>
        <w:t>Единственный соорганизатор в России и СНГ: АНО “Центр русско-китайского гуманитарного сотрудничества и развития”.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/>
          <w:bCs/>
          <w:sz w:val="28"/>
          <w:szCs w:val="28"/>
          <w:lang w:val="ru-RU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ru-RU" w:eastAsia="zh-CN"/>
        </w:rPr>
      </w:pPr>
      <w:r>
        <w:rPr>
          <w:rFonts w:hint="default"/>
          <w:b/>
          <w:bCs/>
          <w:sz w:val="28"/>
          <w:szCs w:val="28"/>
          <w:lang w:val="ru-RU" w:eastAsia="zh-CN"/>
        </w:rPr>
        <w:t>Временной отрезок конкурса: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Апрель-май (вторая половина месяцев)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Продвижение конкурса и регистрация, квалификация и отбор проектов.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Квалификационный отбор и отбор конкурсных работ организованный оргкомитетом конкурса.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Апрель (вторая половина месяца)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Предварительная оценка.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Определение оргкомитетом конкурса списка претендентов на участие в финале конкурса по итогам проведения первичного этапа.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Июнь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Финал.</w:t>
      </w:r>
    </w:p>
    <w:p>
      <w:pPr>
        <w:numPr>
          <w:ilvl w:val="0"/>
          <w:numId w:val="2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Финал состоится в г.Тайань. Финал среди предпринимательских проектов, проектов стартапов пройдет в формате “роуд шоу” (дорожное шоу); проекты промышленных инноваций состоятся в формате защиты на месте проведения работ. Технические эксперты, эксперты по инвестициям, эксперты по правовым вопросам, а также эксперты соответствующих подразделений города и руководителей парков, будут добросовестно оценивать защиту и роуд-шоу. Церемония награждения победителей конкурса, определеных в ходе роуд-шоу, защиты на месте. </w:t>
      </w:r>
    </w:p>
    <w:p>
      <w:pPr>
        <w:numPr>
          <w:ilvl w:val="0"/>
          <w:numId w:val="2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Во время финала, помимо проведения роуд-шоу конкурсных проектов, выездной защиты и судейства, будут организованы стыковка проектов, подписание контрактов на месте, церемония награждения и другие мероприятия, а также выезды участников (команд) в районы (города, районы), функциональные зоны и парки, предприятия. Время проведения финала оговаривается дополнительно.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ru-RU" w:eastAsia="zh-CN"/>
        </w:rPr>
      </w:pPr>
      <w:r>
        <w:rPr>
          <w:rFonts w:hint="default"/>
          <w:b/>
          <w:bCs/>
          <w:sz w:val="28"/>
          <w:szCs w:val="28"/>
          <w:lang w:val="ru-RU" w:eastAsia="zh-CN"/>
        </w:rPr>
        <w:t>Требования и инструкции к системе соревнований: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Всего было установлено 8 объектов: США, Канада, Великобритания, Германия,Япония, Россия и СНГ, Австралия, Пекин (Китай).</w:t>
      </w:r>
    </w:p>
    <w:p>
      <w:pPr>
        <w:numPr>
          <w:ilvl w:val="0"/>
          <w:numId w:val="3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Настройка и описание профессиональная сферы и категории.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О профессиональной сфере: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2 - 1: Информационные технологии нового поколения (Искусственный интеллект, большие данные, облачные вычисления, чипы, мобильная связь 5G, кибербезопасность, высокопроизводительные компьютеры, виртуальная реальность, блокчейн, промышленный Интернет, новый дисплей, высококлассное программное обеспечение);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2 - 2: Высококлассное оборудование (Ключевые технологии и основные компоненты для оборудования информационных технологий нового поколения, морского инжинирингового оборудования, интеллектуального производственного оборудования, высококлассных станков и роботов, высококачественного энергетического оборудования и интеллектуального сельскохозяйственного оборудования);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2 - 3: Новые материалы (Новые материалы, такие как высокопроизводительные волокна и композиционные материалы, биомедицинские материалы, новые материалы для отображения, новые энергетические материалы, высокопроизводительные материалы из легких сплавов и другие ключевые стратегические материалы; аэрокосмический алюминий, передовые химические материалы, полиэфирное волокно,высокопроизводительная сталь для железнодорожного транспорта,материалы из легких сплавов, сверхфункциональные волокна и другие передовые базовые материалы); 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2 - 4: Высококачественная химическая промышленность (Морская химическая промышленность, угольная химическая промышленность, соляная химическая промышленность, точная химическая промышленность и другие области);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2 - 5: Здравоохранение (Цифровая медицина, интегрированная медицина и уход, услуги по уходу за пожилыми людьми, биофармацевтические препараты, клеточная терапия, точная медицина, высокотехнологичное медицинское оборудование, наука о мозге, телемедицина, интеллектуальное медицинское, реабилитационное оборудование, диагностика in vitro, биодиагностика);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2 - 6: Туризм (“Туризм +” интеграция новых индустрий, платформа “Интернет + туризм”, живописные места, выдающиеся традиционные культурные инновации Qilu, представленные конфуцианством, производством фильмов и телевидения, услуги в области культурного творчества и дизайна, новые форматы цифровой культуры);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2 - 7: Высокоэффективное экологическое сельское хозяйство (Современное семеноводство, эффективная посадка, здоровое размножение, глубокая переработка сельскохозяйственной продукции, безопасные и эффективные сельскохозяйственные ресурсы (новые удобрения, биологические пестициды, ветеринарные препараты, экологически чистые органические корма и т.д.), эффективные объекты сельского хозяйства, энергия биомассы, материалы на основе биологических ресурсов, сельскохозяйственный Интернет вещей, современная логистика сельскохозяйственной продукции и электронная коммерция) и другие профессиональные сферы.</w:t>
      </w:r>
    </w:p>
    <w:p>
      <w:pPr>
        <w:numPr>
          <w:ilvl w:val="0"/>
          <w:numId w:val="0"/>
        </w:numPr>
        <w:jc w:val="left"/>
        <w:rPr>
          <w:rFonts w:hint="default"/>
          <w:b/>
          <w:bCs/>
          <w:sz w:val="28"/>
          <w:szCs w:val="28"/>
          <w:lang w:val="ru-RU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/>
          <w:b/>
          <w:bCs/>
          <w:sz w:val="28"/>
          <w:szCs w:val="28"/>
          <w:lang w:val="ru-RU" w:eastAsia="zh-CN"/>
        </w:rPr>
      </w:pPr>
      <w:r>
        <w:rPr>
          <w:rFonts w:hint="default"/>
          <w:b/>
          <w:bCs/>
          <w:sz w:val="28"/>
          <w:szCs w:val="28"/>
          <w:lang w:val="ru-RU" w:eastAsia="zh-CN"/>
        </w:rPr>
        <w:t>Число наград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В конкурсе 9 первых призовых мест, 18 вторых призовых мест, 26 третьих призовых мест , награда за популярность проекта, награда за наибольшую инвестиционную ценность и награда за лучший проект в области технических инноваций.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Те, кто выиграл первое место, второе место и третье место, получат 50 000 юаней, 30 000 юаней и 20 000 юаней соответственно, а также будут выданы сертификаты;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Те, кто выиграл награду за популярность проекта, награду за наибольшую инвестиционную ценность и награду за лучший проект в области технических инноваций получат по 10 000 юаней и сертификат.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Финансовая поддержка участников конкурса: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Для инновационных стартап-проектов, которые были приглашены в г.Тайань для участия в финале, сторона организатор берёт на себя ответственность за перелёт, питание и проживание.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Для отмеченных наградами промышленных инноваций, начинающих предприятий и кандидатов в предпринимательские проекты, которые будут преобразованы в Тайань в течение одного года после конкурса, после всесторонней оценки кандидаты будут отобраны и включены в управление «Команда талантов Тайшаня», и им будут присуждены 500 000 юаней в соответствии с соответствующей политикой правительства города.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Полная поддержка реализации проекта на месте.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Для реализации проекта в Тайане будет использоваться совмещенные способы связи между городом, округом и парками, оснащенные специалистами по обслуживанию, открывающие зеленые каналы, всесторонне использующие политику поддержки талантов, будут приобщены фонды поддержки промышленного развития, политика землепользования и т.д.  Предоставление комплексных услуг в сфере офисных помещений, гарантии инвестиций и финансирования и т.д. Если есть потребность в инновационных и предпринимательских кредитах, каждому предприятию может быть предоставлена частичная гарантия субсидии или скидка в размере 3 млн. юаней в максимальной сумме кредита каждого предприятия, а также координация государственных финансовых гарантийных учреждений для предоставления предпринимательских гарантий по кредитам и банковских учреждений для предоставления кредитной поддержки. В соответствии с личными пожеланиями кандидатов-победителей, будет возможность пользоваться политикой «второго одобрения» для расселения, использования квартир и скидками на покупку жилья. 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>Осуществление поддержки “Один факт - одно обсуждение”.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r>
        <w:rPr>
          <w:rFonts w:hint="default"/>
          <w:b w:val="0"/>
          <w:bCs w:val="0"/>
          <w:sz w:val="28"/>
          <w:szCs w:val="28"/>
          <w:lang w:val="ru-RU" w:eastAsia="zh-CN"/>
        </w:rPr>
        <w:t xml:space="preserve">Пройдя оценку, преобразовавшие проекты в течении одного года после конкурса в г.Тайань отечественные и зарубежные команды получат поддержку, препринимательскую поддержку, инвестиции в акционерный капитал и другие методы, будет оказана всесторонняя поддержка до 100 миллиона юаней. Основные члены квалифицированной команды будут включены в управление талантами Тайшаня. Всем академикам, внедреным в Китайскую академию наук, Инженерную академию г.Тайань, и других уровней лучших отечественных и зарубежных талантам, занимающихся научно-техническими исследованиями и развитием промышленности города Тайань, после признания, будет предоставлено 5 миллионов юаней субсидии на жизнь. </w:t>
      </w: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/>
          <w:b w:val="0"/>
          <w:bCs w:val="0"/>
          <w:sz w:val="28"/>
          <w:szCs w:val="28"/>
          <w:lang w:val="ru-RU"/>
        </w:rPr>
      </w:pP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8"/>
          <w:szCs w:val="28"/>
          <w:lang w:val="ru-RU" w:eastAsia="zh-CN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yandex-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0A3E2F"/>
    <w:multiLevelType w:val="singleLevel"/>
    <w:tmpl w:val="9A0A3E2F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D3E4425"/>
    <w:multiLevelType w:val="singleLevel"/>
    <w:tmpl w:val="9D3E4425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C50C9630"/>
    <w:multiLevelType w:val="singleLevel"/>
    <w:tmpl w:val="C50C9630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13"/>
    <w:rsid w:val="00224DC2"/>
    <w:rsid w:val="00496813"/>
    <w:rsid w:val="00B105CA"/>
    <w:rsid w:val="05343CDE"/>
    <w:rsid w:val="06C376E6"/>
    <w:rsid w:val="08CF119A"/>
    <w:rsid w:val="13126606"/>
    <w:rsid w:val="13AB31FD"/>
    <w:rsid w:val="1D0F7794"/>
    <w:rsid w:val="262959A6"/>
    <w:rsid w:val="2ACA6909"/>
    <w:rsid w:val="2B3F147E"/>
    <w:rsid w:val="40420E5A"/>
    <w:rsid w:val="601924DA"/>
    <w:rsid w:val="6E7F3552"/>
    <w:rsid w:val="702736BD"/>
    <w:rsid w:val="793D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1720</Words>
  <Characters>9805</Characters>
  <Lines>81</Lines>
  <Paragraphs>23</Paragraphs>
  <TotalTime>14</TotalTime>
  <ScaleCrop>false</ScaleCrop>
  <LinksUpToDate>false</LinksUpToDate>
  <CharactersWithSpaces>11502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2019-12-04T11:26:00Z</dcterms:created>
  <dc:creator>Олди</dc:creator>
  <cp:lastModifiedBy>Daria Leonova（达莎）</cp:lastModifiedBy>
  <dcterms:modified xsi:type="dcterms:W3CDTF">2020-04-28T15:40:02Z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